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jc w:val="center"/>
        <w:rPr>
          <w:b w:val="1"/>
          <w:color w:val="222222"/>
          <w:sz w:val="40"/>
          <w:szCs w:val="40"/>
          <w:highlight w:val="white"/>
        </w:rPr>
      </w:pPr>
      <w:r w:rsidDel="00000000" w:rsidR="00000000" w:rsidRPr="00000000">
        <w:rPr>
          <w:b w:val="1"/>
          <w:color w:val="222222"/>
          <w:sz w:val="40"/>
          <w:szCs w:val="40"/>
          <w:highlight w:val="white"/>
          <w:rtl w:val="0"/>
        </w:rPr>
        <w:t xml:space="preserve">AMIA Community Archiving Workshop 2016</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Community Archiving provides moving image archivists the opportunity to serve the community of Pittsburgh and work with local volunteers to help organizations gain intellectual and physical control over endangered moving image collections. This year we are working with</w:t>
      </w:r>
      <w:r w:rsidDel="00000000" w:rsidR="00000000" w:rsidRPr="00000000">
        <w:rPr>
          <w:sz w:val="20"/>
          <w:szCs w:val="20"/>
          <w:u w:val="single"/>
          <w:rtl w:val="0"/>
        </w:rPr>
        <w:t xml:space="preserve"> [# of Partner Organizations] </w:t>
      </w:r>
      <w:r w:rsidDel="00000000" w:rsidR="00000000" w:rsidRPr="00000000">
        <w:rPr>
          <w:sz w:val="20"/>
          <w:szCs w:val="20"/>
          <w:rtl w:val="0"/>
        </w:rPr>
        <w:t xml:space="preserve">organizations,</w:t>
      </w:r>
      <w:r w:rsidDel="00000000" w:rsidR="00000000" w:rsidRPr="00000000">
        <w:rPr>
          <w:sz w:val="20"/>
          <w:szCs w:val="20"/>
          <w:u w:val="single"/>
          <w:rtl w:val="0"/>
        </w:rPr>
        <w:t xml:space="preserve"> [list Partner Organizations]</w:t>
      </w:r>
      <w:r w:rsidDel="00000000" w:rsidR="00000000" w:rsidRPr="00000000">
        <w:rPr>
          <w:sz w:val="20"/>
          <w:szCs w:val="20"/>
          <w:rtl w:val="0"/>
        </w:rPr>
        <w:t xml:space="preserve">. AMIA Conference attendees will be paired with community members to conduct basic processing, cataloging and inspection of a moving image collection and, by doing so, will learn how to identify risk factors and make preservation recommendations for moving image collections.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Workshop participants will gain experience in working with and training non-archivists to care for their collections. In the process, they will engage in hands-on processing, inspecting, and cataloging audiovisual media. Most importantly, they will build relationships and connections with the [City] community.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 late lunch will be provided.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sz w:val="20"/>
          <w:szCs w:val="20"/>
          <w:rtl w:val="0"/>
        </w:rPr>
        <w:t xml:space="preserve">Attendees are encouraged to bring their laptops. WiFi connection will be available.</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spacing w:line="331.2" w:lineRule="auto"/>
        <w:contextualSpacing w:val="0"/>
        <w:rPr>
          <w:b w:val="1"/>
          <w:color w:val="222222"/>
          <w:sz w:val="28"/>
          <w:szCs w:val="28"/>
          <w:highlight w:val="white"/>
        </w:rPr>
      </w:pPr>
      <w:r w:rsidDel="00000000" w:rsidR="00000000" w:rsidRPr="00000000">
        <w:rPr>
          <w:b w:val="1"/>
          <w:color w:val="222222"/>
          <w:sz w:val="28"/>
          <w:szCs w:val="28"/>
          <w:highlight w:val="white"/>
          <w:rtl w:val="0"/>
        </w:rPr>
        <w:t xml:space="preserve">Date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[Day]</w:t>
      </w:r>
      <w:r w:rsidDel="00000000" w:rsidR="00000000" w:rsidRPr="00000000">
        <w:rPr>
          <w:sz w:val="20"/>
          <w:szCs w:val="20"/>
          <w:rtl w:val="0"/>
        </w:rPr>
        <w:t xml:space="preserve">, [Date]</w:t>
      </w:r>
    </w:p>
    <w:p w:rsidR="00000000" w:rsidDel="00000000" w:rsidP="00000000" w:rsidRDefault="00000000" w:rsidRPr="00000000">
      <w:pPr>
        <w:pBdr/>
        <w:contextualSpacing w:val="0"/>
        <w:rPr>
          <w:color w:val="222222"/>
          <w:sz w:val="20"/>
          <w:szCs w:val="20"/>
          <w:highlight w:val="white"/>
        </w:rPr>
      </w:pPr>
      <w:r w:rsidDel="00000000" w:rsidR="00000000" w:rsidRPr="00000000">
        <w:rPr>
          <w:sz w:val="20"/>
          <w:szCs w:val="20"/>
          <w:rtl w:val="0"/>
        </w:rPr>
        <w:t xml:space="preserve">11-5pm</w:t>
      </w:r>
      <w:r w:rsidDel="00000000" w:rsidR="00000000" w:rsidRPr="00000000">
        <w:rPr>
          <w:rtl w:val="0"/>
        </w:rPr>
      </w:r>
    </w:p>
    <w:p w:rsidR="00000000" w:rsidDel="00000000" w:rsidP="00000000" w:rsidRDefault="00000000" w:rsidRPr="00000000">
      <w:pPr>
        <w:pBd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spacing w:line="331.2" w:lineRule="auto"/>
        <w:contextualSpacing w:val="0"/>
        <w:rPr>
          <w:b w:val="1"/>
          <w:color w:val="222222"/>
          <w:sz w:val="28"/>
          <w:szCs w:val="28"/>
        </w:rPr>
      </w:pPr>
      <w:r w:rsidDel="00000000" w:rsidR="00000000" w:rsidRPr="00000000">
        <w:rPr>
          <w:b w:val="1"/>
          <w:color w:val="222222"/>
          <w:sz w:val="28"/>
          <w:szCs w:val="28"/>
          <w:rtl w:val="0"/>
        </w:rPr>
        <w:t xml:space="preserve">Location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[Location 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color w:val="222222"/>
          <w:sz w:val="28"/>
          <w:szCs w:val="28"/>
          <w:rtl w:val="0"/>
        </w:rPr>
        <w:t xml:space="preserve">Contact Information</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[CAW Representative phone and email]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[Location Representative phone and email]</w:t>
      </w:r>
      <w:r w:rsidDel="00000000" w:rsidR="00000000" w:rsidRPr="00000000">
        <w:rPr>
          <w:rtl w:val="0"/>
        </w:rPr>
      </w:r>
    </w:p>
    <w:p w:rsidR="00000000" w:rsidDel="00000000" w:rsidP="00000000" w:rsidRDefault="00000000" w:rsidRPr="00000000">
      <w:pPr>
        <w:pBd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spacing w:line="331.2" w:lineRule="auto"/>
        <w:contextualSpacing w:val="0"/>
        <w:rPr>
          <w:b w:val="1"/>
          <w:color w:val="222222"/>
          <w:sz w:val="28"/>
          <w:szCs w:val="28"/>
          <w:highlight w:val="white"/>
        </w:rPr>
      </w:pPr>
      <w:r w:rsidDel="00000000" w:rsidR="00000000" w:rsidRPr="00000000">
        <w:rPr>
          <w:b w:val="1"/>
          <w:color w:val="222222"/>
          <w:sz w:val="28"/>
          <w:szCs w:val="28"/>
          <w:highlight w:val="white"/>
          <w:rtl w:val="0"/>
        </w:rPr>
        <w:t xml:space="preserve">Schedule</w:t>
      </w:r>
    </w:p>
    <w:tbl>
      <w:tblPr>
        <w:tblStyle w:val="Table1"/>
        <w:bidiVisual w:val="0"/>
        <w:tblW w:w="9045.0" w:type="dxa"/>
        <w:jc w:val="left"/>
        <w:tblLayout w:type="fixed"/>
        <w:tblLook w:val="0600"/>
      </w:tblPr>
      <w:tblGrid>
        <w:gridCol w:w="1575"/>
        <w:gridCol w:w="7470"/>
        <w:tblGridChange w:id="0">
          <w:tblGrid>
            <w:gridCol w:w="1575"/>
            <w:gridCol w:w="747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11-11:30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Welcome and Introductions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11:30-12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Instructional Presentations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12-2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Process Collections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2-2:30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Lunch</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2:30-4:30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Process Collections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4:30-5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sz w:val="24"/>
                <w:szCs w:val="24"/>
              </w:rPr>
            </w:pPr>
            <w:r w:rsidDel="00000000" w:rsidR="00000000" w:rsidRPr="00000000">
              <w:rPr>
                <w:sz w:val="24"/>
                <w:szCs w:val="24"/>
                <w:rtl w:val="0"/>
              </w:rPr>
              <w:t xml:space="preserve">Wrap-up</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[Insert Information about Partner Organization, including logo, mission, history, and collection description]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[Repeat for all Partner Organizations. Insert Information about Partner Organization, including logo, mission, history, and collection description]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b w:val="1"/>
          <w:u w:val="single"/>
        </w:rPr>
      </w:pPr>
      <w:r w:rsidDel="00000000" w:rsidR="00000000" w:rsidRPr="00000000">
        <w:rPr>
          <w:b w:val="1"/>
          <w:u w:val="single"/>
          <w:rtl w:val="0"/>
        </w:rPr>
        <w:t xml:space="preserve">WORKSHOP SPONSORS: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[Partner Organization]</w:t>
      </w:r>
    </w:p>
    <w:p w:rsidR="00000000" w:rsidDel="00000000" w:rsidP="00000000" w:rsidRDefault="00000000" w:rsidRPr="00000000">
      <w:pPr>
        <w:pBdr/>
        <w:spacing w:line="331.2" w:lineRule="auto"/>
        <w:contextualSpacing w:val="0"/>
        <w:rPr/>
      </w:pPr>
      <w:r w:rsidDel="00000000" w:rsidR="00000000" w:rsidRPr="00000000">
        <w:rPr>
          <w:rtl w:val="0"/>
        </w:rPr>
        <w:t xml:space="preserve">[website link]</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[Partner Organization]</w:t>
      </w:r>
    </w:p>
    <w:p w:rsidR="00000000" w:rsidDel="00000000" w:rsidP="00000000" w:rsidRDefault="00000000" w:rsidRPr="00000000">
      <w:pPr>
        <w:pBdr/>
        <w:spacing w:line="331.2" w:lineRule="auto"/>
        <w:contextualSpacing w:val="0"/>
        <w:rPr/>
      </w:pPr>
      <w:r w:rsidDel="00000000" w:rsidR="00000000" w:rsidRPr="00000000">
        <w:rPr>
          <w:rtl w:val="0"/>
        </w:rPr>
        <w:t xml:space="preserve">[website link]</w:t>
      </w:r>
    </w:p>
    <w:p w:rsidR="00000000" w:rsidDel="00000000" w:rsidP="00000000" w:rsidRDefault="00000000" w:rsidRPr="00000000">
      <w:pPr>
        <w:pBdr/>
        <w:spacing w:line="331.2" w:lineRule="auto"/>
        <w:contextualSpacing w:val="0"/>
        <w:rPr>
          <w:b w:val="1"/>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Association of Moving Image Archivists (AMIA)</w:t>
      </w:r>
    </w:p>
    <w:p w:rsidR="00000000" w:rsidDel="00000000" w:rsidP="00000000" w:rsidRDefault="00000000" w:rsidRPr="00000000">
      <w:pPr>
        <w:pBdr/>
        <w:spacing w:line="331.2" w:lineRule="auto"/>
        <w:contextualSpacing w:val="0"/>
        <w:rPr>
          <w:color w:val="1155cc"/>
          <w:u w:val="single"/>
        </w:rPr>
      </w:pPr>
      <w:hyperlink r:id="rId5">
        <w:r w:rsidDel="00000000" w:rsidR="00000000" w:rsidRPr="00000000">
          <w:rPr>
            <w:color w:val="1155cc"/>
            <w:u w:val="single"/>
            <w:rtl w:val="0"/>
          </w:rPr>
          <w:t xml:space="preserve">http://amianet.org/</w:t>
        </w:r>
      </w:hyperlink>
    </w:p>
    <w:p w:rsidR="00000000" w:rsidDel="00000000" w:rsidP="00000000" w:rsidRDefault="00000000" w:rsidRPr="00000000">
      <w:pPr>
        <w:pBdr/>
        <w:spacing w:line="331.2" w:lineRule="auto"/>
        <w:contextualSpacing w:val="0"/>
        <w:rPr>
          <w:color w:val="1155cc"/>
          <w:u w:val="single"/>
        </w:rPr>
      </w:pPr>
      <w:hyperlink r:id="rId6">
        <w:r w:rsidDel="00000000" w:rsidR="00000000" w:rsidRPr="00000000">
          <w:rPr>
            <w:color w:val="1155cc"/>
            <w:u w:val="single"/>
            <w:rtl w:val="0"/>
          </w:rPr>
          <w:t xml:space="preserve">http://www.amiaconference.com/</w:t>
        </w:r>
      </w:hyperlink>
    </w:p>
    <w:p w:rsidR="00000000" w:rsidDel="00000000" w:rsidP="00000000" w:rsidRDefault="00000000" w:rsidRPr="00000000">
      <w:pPr>
        <w:pBdr/>
        <w:contextualSpacing w:val="0"/>
        <w:rPr>
          <w:color w:val="1155cc"/>
          <w:u w:val="single"/>
        </w:rPr>
      </w:pPr>
      <w:hyperlink r:id="rId7">
        <w:r w:rsidDel="00000000" w:rsidR="00000000" w:rsidRPr="00000000">
          <w:rPr>
            <w:rtl w:val="0"/>
          </w:rPr>
        </w:r>
      </w:hyperlink>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AMIA Independent Media Committee</w:t>
      </w:r>
    </w:p>
    <w:p w:rsidR="00000000" w:rsidDel="00000000" w:rsidP="00000000" w:rsidRDefault="00000000" w:rsidRPr="00000000">
      <w:pPr>
        <w:pBdr/>
        <w:spacing w:line="331.2" w:lineRule="auto"/>
        <w:contextualSpacing w:val="0"/>
        <w:rPr>
          <w:color w:val="1155cc"/>
          <w:u w:val="single"/>
        </w:rPr>
      </w:pPr>
      <w:hyperlink r:id="rId8">
        <w:r w:rsidDel="00000000" w:rsidR="00000000" w:rsidRPr="00000000">
          <w:rPr>
            <w:color w:val="1155cc"/>
            <w:u w:val="single"/>
            <w:rtl w:val="0"/>
          </w:rPr>
          <w:t xml:space="preserve">http://www.amianet.org/community/committees</w:t>
        </w:r>
      </w:hyperlink>
    </w:p>
    <w:p w:rsidR="00000000" w:rsidDel="00000000" w:rsidP="00000000" w:rsidRDefault="00000000" w:rsidRPr="00000000">
      <w:pPr>
        <w:pBdr/>
        <w:contextualSpacing w:val="0"/>
        <w:rPr>
          <w:color w:val="1155cc"/>
          <w:u w:val="single"/>
        </w:rPr>
      </w:pPr>
      <w:hyperlink r:id="rId9">
        <w:r w:rsidDel="00000000" w:rsidR="00000000" w:rsidRPr="00000000">
          <w:rPr>
            <w:rtl w:val="0"/>
          </w:rPr>
        </w:r>
      </w:hyperlink>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AMIA Diversity Committee</w:t>
      </w:r>
    </w:p>
    <w:p w:rsidR="00000000" w:rsidDel="00000000" w:rsidP="00000000" w:rsidRDefault="00000000" w:rsidRPr="00000000">
      <w:pPr>
        <w:pBdr/>
        <w:spacing w:line="331.2" w:lineRule="auto"/>
        <w:contextualSpacing w:val="0"/>
        <w:rPr>
          <w:color w:val="1155cc"/>
          <w:u w:val="single"/>
        </w:rPr>
      </w:pPr>
      <w:hyperlink r:id="rId10">
        <w:r w:rsidDel="00000000" w:rsidR="00000000" w:rsidRPr="00000000">
          <w:rPr>
            <w:color w:val="1155cc"/>
            <w:u w:val="single"/>
            <w:rtl w:val="0"/>
          </w:rPr>
          <w:t xml:space="preserve">http://www.amianet.org/community/committees</w:t>
        </w:r>
      </w:hyperlink>
    </w:p>
    <w:p w:rsidR="00000000" w:rsidDel="00000000" w:rsidP="00000000" w:rsidRDefault="00000000" w:rsidRPr="00000000">
      <w:pPr>
        <w:pBdr/>
        <w:contextualSpacing w:val="0"/>
        <w:rPr>
          <w:color w:val="1155cc"/>
          <w:u w:val="single"/>
        </w:rPr>
      </w:pPr>
      <w:hyperlink r:id="rId11">
        <w:r w:rsidDel="00000000" w:rsidR="00000000" w:rsidRPr="00000000">
          <w:rPr>
            <w:rtl w:val="0"/>
          </w:rPr>
        </w:r>
      </w:hyperlink>
    </w:p>
    <w:p w:rsidR="00000000" w:rsidDel="00000000" w:rsidP="00000000" w:rsidRDefault="00000000" w:rsidRPr="00000000">
      <w:pPr>
        <w:pBdr/>
        <w:spacing w:line="331.2" w:lineRule="auto"/>
        <w:contextualSpacing w:val="0"/>
        <w:rPr>
          <w:b w:val="1"/>
          <w:sz w:val="24"/>
          <w:szCs w:val="24"/>
          <w:u w:val="single"/>
        </w:rPr>
      </w:pPr>
      <w:r w:rsidDel="00000000" w:rsidR="00000000" w:rsidRPr="00000000">
        <w:rPr>
          <w:b w:val="1"/>
          <w:sz w:val="24"/>
          <w:szCs w:val="24"/>
          <w:u w:val="single"/>
          <w:rtl w:val="0"/>
        </w:rPr>
        <w:t xml:space="preserve">ADDITIONAL RESOURCES</w:t>
      </w:r>
    </w:p>
    <w:p w:rsidR="00000000" w:rsidDel="00000000" w:rsidP="00000000" w:rsidRDefault="00000000" w:rsidRPr="00000000">
      <w:pPr>
        <w:pBdr/>
        <w:contextualSpacing w:val="0"/>
        <w:rPr>
          <w:sz w:val="24"/>
          <w:szCs w:val="24"/>
        </w:rPr>
      </w:pPr>
      <w:r w:rsidDel="00000000" w:rsidR="00000000" w:rsidRPr="00000000">
        <w:rPr>
          <w:rtl w:val="0"/>
        </w:rPr>
        <w:t xml:space="preserve">35mm, 16mm, 8mm and super8 film preservation:</w:t>
      </w:r>
      <w:r w:rsidDel="00000000" w:rsidR="00000000" w:rsidRPr="00000000">
        <w:rPr>
          <w:rtl w:val="0"/>
        </w:rPr>
      </w:r>
    </w:p>
    <w:p w:rsidR="00000000" w:rsidDel="00000000" w:rsidP="00000000" w:rsidRDefault="00000000" w:rsidRPr="00000000">
      <w:pPr>
        <w:numPr>
          <w:ilvl w:val="0"/>
          <w:numId w:val="2"/>
        </w:numPr>
        <w:pBdr/>
        <w:spacing w:line="331.2" w:lineRule="auto"/>
        <w:ind w:left="720" w:hanging="360"/>
        <w:contextualSpacing w:val="1"/>
        <w:rPr/>
      </w:pPr>
      <w:hyperlink r:id="rId12">
        <w:r w:rsidDel="00000000" w:rsidR="00000000" w:rsidRPr="00000000">
          <w:rPr>
            <w:color w:val="1155cc"/>
            <w:u w:val="single"/>
            <w:rtl w:val="0"/>
          </w:rPr>
          <w:t xml:space="preserve">National Film Preservation Fund: The Film Preservation Guide</w:t>
        </w:r>
      </w:hyperlink>
    </w:p>
    <w:p w:rsidR="00000000" w:rsidDel="00000000" w:rsidP="00000000" w:rsidRDefault="00000000" w:rsidRPr="00000000">
      <w:pPr>
        <w:numPr>
          <w:ilvl w:val="0"/>
          <w:numId w:val="3"/>
        </w:numPr>
        <w:pBdr/>
        <w:spacing w:line="331.2" w:lineRule="auto"/>
        <w:ind w:left="720" w:hanging="360"/>
        <w:contextualSpacing w:val="1"/>
        <w:rPr/>
      </w:pPr>
      <w:hyperlink r:id="rId13">
        <w:r w:rsidDel="00000000" w:rsidR="00000000" w:rsidRPr="00000000">
          <w:rPr>
            <w:color w:val="1155cc"/>
            <w:u w:val="single"/>
            <w:rtl w:val="0"/>
          </w:rPr>
          <w:t xml:space="preserve">Film Forever</w:t>
        </w:r>
      </w:hyperlink>
    </w:p>
    <w:p w:rsidR="00000000" w:rsidDel="00000000" w:rsidP="00000000" w:rsidRDefault="00000000" w:rsidRPr="00000000">
      <w:pPr>
        <w:numPr>
          <w:ilvl w:val="0"/>
          <w:numId w:val="3"/>
        </w:numPr>
        <w:pBdr/>
        <w:spacing w:line="331.2" w:lineRule="auto"/>
        <w:ind w:left="720" w:hanging="360"/>
        <w:contextualSpacing w:val="1"/>
        <w:rPr/>
      </w:pPr>
      <w:hyperlink r:id="rId14">
        <w:r w:rsidDel="00000000" w:rsidR="00000000" w:rsidRPr="00000000">
          <w:rPr>
            <w:color w:val="1155cc"/>
            <w:u w:val="single"/>
            <w:rtl w:val="0"/>
          </w:rPr>
          <w:t xml:space="preserve">Little Film</w:t>
        </w:r>
      </w:hyperlink>
    </w:p>
    <w:p w:rsidR="00000000" w:rsidDel="00000000" w:rsidP="00000000" w:rsidRDefault="00000000" w:rsidRPr="00000000">
      <w:pPr>
        <w:numPr>
          <w:ilvl w:val="0"/>
          <w:numId w:val="3"/>
        </w:numPr>
        <w:pBdr/>
        <w:spacing w:line="331.2" w:lineRule="auto"/>
        <w:ind w:left="720" w:hanging="360"/>
        <w:contextualSpacing w:val="1"/>
        <w:rPr/>
      </w:pPr>
      <w:hyperlink r:id="rId15">
        <w:r w:rsidDel="00000000" w:rsidR="00000000" w:rsidRPr="00000000">
          <w:rPr>
            <w:color w:val="1155cc"/>
            <w:u w:val="single"/>
            <w:rtl w:val="0"/>
          </w:rPr>
          <w:t xml:space="preserve">Kodak edgecode guide</w:t>
        </w:r>
      </w:hyperlink>
    </w:p>
    <w:p w:rsidR="00000000" w:rsidDel="00000000" w:rsidP="00000000" w:rsidRDefault="00000000" w:rsidRPr="00000000">
      <w:pPr>
        <w:numPr>
          <w:ilvl w:val="0"/>
          <w:numId w:val="3"/>
        </w:numPr>
        <w:pBdr/>
        <w:spacing w:line="331.2" w:lineRule="auto"/>
        <w:ind w:left="720" w:hanging="360"/>
        <w:contextualSpacing w:val="1"/>
        <w:rPr/>
      </w:pPr>
      <w:hyperlink r:id="rId16">
        <w:r w:rsidDel="00000000" w:rsidR="00000000" w:rsidRPr="00000000">
          <w:rPr>
            <w:color w:val="1155cc"/>
            <w:u w:val="single"/>
            <w:rtl w:val="0"/>
          </w:rPr>
          <w:t xml:space="preserve">blank print condition report</w:t>
        </w:r>
      </w:hyperlink>
    </w:p>
    <w:p w:rsidR="00000000" w:rsidDel="00000000" w:rsidP="00000000" w:rsidRDefault="00000000" w:rsidRPr="00000000">
      <w:pPr>
        <w:pBdr/>
        <w:contextualSpacing w:val="0"/>
        <w:rPr>
          <w:sz w:val="24"/>
          <w:szCs w:val="24"/>
        </w:rPr>
      </w:pPr>
      <w:r w:rsidDel="00000000" w:rsidR="00000000" w:rsidRPr="00000000">
        <w:rPr>
          <w:rtl w:val="0"/>
        </w:rPr>
        <w:t xml:space="preserve">Video preservation:</w:t>
      </w: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hyperlink r:id="rId17">
        <w:r w:rsidDel="00000000" w:rsidR="00000000" w:rsidRPr="00000000">
          <w:rPr>
            <w:color w:val="1155cc"/>
            <w:u w:val="single"/>
            <w:rtl w:val="0"/>
          </w:rPr>
          <w:t xml:space="preserve">Videotape Identification and Assessment Guide</w:t>
        </w:r>
      </w:hyperlink>
    </w:p>
    <w:p w:rsidR="00000000" w:rsidDel="00000000" w:rsidP="00000000" w:rsidRDefault="00000000" w:rsidRPr="00000000">
      <w:pPr>
        <w:numPr>
          <w:ilvl w:val="0"/>
          <w:numId w:val="1"/>
        </w:numPr>
        <w:pBdr/>
        <w:spacing w:line="331.2" w:lineRule="auto"/>
        <w:ind w:left="720" w:hanging="360"/>
        <w:contextualSpacing w:val="1"/>
        <w:rPr/>
      </w:pPr>
      <w:hyperlink r:id="rId18">
        <w:r w:rsidDel="00000000" w:rsidR="00000000" w:rsidRPr="00000000">
          <w:rPr>
            <w:color w:val="1155cc"/>
            <w:u w:val="single"/>
            <w:rtl w:val="0"/>
          </w:rPr>
          <w:t xml:space="preserve">Independent Media Arts Preservation Online Resource List</w:t>
        </w:r>
      </w:hyperlink>
    </w:p>
    <w:p w:rsidR="00000000" w:rsidDel="00000000" w:rsidP="00000000" w:rsidRDefault="00000000" w:rsidRPr="00000000">
      <w:pPr>
        <w:numPr>
          <w:ilvl w:val="0"/>
          <w:numId w:val="1"/>
        </w:numPr>
        <w:pBdr/>
        <w:spacing w:line="331.2" w:lineRule="auto"/>
        <w:ind w:left="720" w:hanging="360"/>
        <w:contextualSpacing w:val="1"/>
        <w:rPr/>
      </w:pPr>
      <w:hyperlink r:id="rId19">
        <w:r w:rsidDel="00000000" w:rsidR="00000000" w:rsidRPr="00000000">
          <w:rPr>
            <w:color w:val="1155cc"/>
            <w:u w:val="single"/>
            <w:rtl w:val="0"/>
          </w:rPr>
          <w:t xml:space="preserve">BAVC Preservation Glossary</w:t>
        </w:r>
      </w:hyperlink>
    </w:p>
    <w:p w:rsidR="00000000" w:rsidDel="00000000" w:rsidP="00000000" w:rsidRDefault="00000000" w:rsidRPr="00000000">
      <w:pPr>
        <w:numPr>
          <w:ilvl w:val="0"/>
          <w:numId w:val="1"/>
        </w:numPr>
        <w:pBdr/>
        <w:spacing w:line="331.2" w:lineRule="auto"/>
        <w:ind w:left="720" w:hanging="360"/>
        <w:contextualSpacing w:val="1"/>
        <w:rPr/>
      </w:pPr>
      <w:hyperlink r:id="rId20">
        <w:r w:rsidDel="00000000" w:rsidR="00000000" w:rsidRPr="00000000">
          <w:rPr>
            <w:color w:val="1155cc"/>
            <w:u w:val="single"/>
            <w:rtl w:val="0"/>
          </w:rPr>
          <w:t xml:space="preserve">Digitizing Video for Long-Term Preservation: An RFP Guide and Template</w:t>
        </w:r>
      </w:hyperlink>
    </w:p>
    <w:p w:rsidR="00000000" w:rsidDel="00000000" w:rsidP="00000000" w:rsidRDefault="00000000" w:rsidRPr="00000000">
      <w:pPr>
        <w:pBdr/>
        <w:contextualSpacing w:val="0"/>
        <w:rPr/>
      </w:pPr>
      <w:r w:rsidDel="00000000" w:rsidR="00000000" w:rsidRPr="00000000">
        <w:rPr>
          <w:rtl w:val="0"/>
        </w:rPr>
        <w:t xml:space="preserve">Audio preservation:</w:t>
      </w:r>
    </w:p>
    <w:p w:rsidR="00000000" w:rsidDel="00000000" w:rsidP="00000000" w:rsidRDefault="00000000" w:rsidRPr="00000000">
      <w:pPr>
        <w:numPr>
          <w:ilvl w:val="0"/>
          <w:numId w:val="4"/>
        </w:numPr>
        <w:pBdr/>
        <w:spacing w:line="331.2" w:lineRule="auto"/>
        <w:ind w:left="720" w:hanging="360"/>
        <w:contextualSpacing w:val="1"/>
        <w:rPr/>
      </w:pPr>
      <w:hyperlink r:id="rId21">
        <w:r w:rsidDel="00000000" w:rsidR="00000000" w:rsidRPr="00000000">
          <w:rPr>
            <w:color w:val="1155cc"/>
            <w:u w:val="single"/>
            <w:rtl w:val="0"/>
          </w:rPr>
          <w:t xml:space="preserve">Safeguarding the Audio Heritage: Ethics, Principles and Preservation Strategy</w:t>
        </w:r>
      </w:hyperlink>
    </w:p>
    <w:p w:rsidR="00000000" w:rsidDel="00000000" w:rsidP="00000000" w:rsidRDefault="00000000" w:rsidRPr="00000000">
      <w:pPr>
        <w:numPr>
          <w:ilvl w:val="0"/>
          <w:numId w:val="4"/>
        </w:numPr>
        <w:pBdr/>
        <w:spacing w:after="80" w:line="374.4" w:lineRule="auto"/>
        <w:ind w:left="720" w:hanging="360"/>
        <w:contextualSpacing w:val="1"/>
        <w:rPr/>
      </w:pPr>
      <w:hyperlink r:id="rId22">
        <w:r w:rsidDel="00000000" w:rsidR="00000000" w:rsidRPr="00000000">
          <w:rPr>
            <w:color w:val="1155cc"/>
            <w:u w:val="single"/>
            <w:rtl w:val="0"/>
          </w:rPr>
          <w:t xml:space="preserve">Guidelines on the Production and Preservation of Digital Audio Objects</w:t>
        </w:r>
      </w:hyperlink>
    </w:p>
    <w:p w:rsidR="00000000" w:rsidDel="00000000" w:rsidP="00000000" w:rsidRDefault="00000000" w:rsidRPr="00000000">
      <w:pPr>
        <w:pBdr/>
        <w:contextualSpacing w:val="0"/>
        <w:rPr/>
      </w:pPr>
      <w:r w:rsidDel="00000000" w:rsidR="00000000" w:rsidRPr="00000000">
        <w:rPr>
          <w:rtl w:val="0"/>
        </w:rPr>
      </w:r>
    </w:p>
    <w:sectPr>
      <w:footerReference r:id="rId2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library.nyu.edu/preservation/RFP_20131023.pdf" TargetMode="External"/><Relationship Id="rId11" Type="http://schemas.openxmlformats.org/officeDocument/2006/relationships/hyperlink" Target="http://www.amianet.org/community/committees" TargetMode="External"/><Relationship Id="rId22" Type="http://schemas.openxmlformats.org/officeDocument/2006/relationships/hyperlink" Target="http://www.iasa-web.org/tc04/audio-preservation" TargetMode="External"/><Relationship Id="rId10" Type="http://schemas.openxmlformats.org/officeDocument/2006/relationships/hyperlink" Target="http://www.amianet.org/community/committees" TargetMode="External"/><Relationship Id="rId21" Type="http://schemas.openxmlformats.org/officeDocument/2006/relationships/hyperlink" Target="http://www.iasa-web.org/sites/default/files/downloads/publications/TC03_English.pdf" TargetMode="External"/><Relationship Id="rId13" Type="http://schemas.openxmlformats.org/officeDocument/2006/relationships/hyperlink" Target="http://www.filmforever.org/" TargetMode="External"/><Relationship Id="rId12" Type="http://schemas.openxmlformats.org/officeDocument/2006/relationships/hyperlink" Target="http://www.filmpreservation.org/preservation-basics/the-film-preservation-guide" TargetMode="External"/><Relationship Id="rId23"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mianet.org/community/committees" TargetMode="External"/><Relationship Id="rId15" Type="http://schemas.openxmlformats.org/officeDocument/2006/relationships/hyperlink" Target="http://www.filmforever.org/Edgecodes.pdf" TargetMode="External"/><Relationship Id="rId14" Type="http://schemas.openxmlformats.org/officeDocument/2006/relationships/hyperlink" Target="http://www.littlefilm.org/" TargetMode="External"/><Relationship Id="rId17" Type="http://schemas.openxmlformats.org/officeDocument/2006/relationships/hyperlink" Target="http://www.arts.texas.gov/wp-content/uploads/2012/04/video.pdf" TargetMode="External"/><Relationship Id="rId16" Type="http://schemas.openxmlformats.org/officeDocument/2006/relationships/hyperlink" Target="http://www.filmpreservation.org/userfiles/image/PDFs/pcr_blank.pdf" TargetMode="External"/><Relationship Id="rId5" Type="http://schemas.openxmlformats.org/officeDocument/2006/relationships/hyperlink" Target="http://amianet.org/" TargetMode="External"/><Relationship Id="rId19" Type="http://schemas.openxmlformats.org/officeDocument/2006/relationships/hyperlink" Target="http://bavc.org/preservation/resources/preservation-glossary" TargetMode="External"/><Relationship Id="rId6" Type="http://schemas.openxmlformats.org/officeDocument/2006/relationships/hyperlink" Target="http://www.amiaconference.com/" TargetMode="External"/><Relationship Id="rId18" Type="http://schemas.openxmlformats.org/officeDocument/2006/relationships/hyperlink" Target="http://www.imappreserve.org/educ/pdf/IMAPpreservationlinks.pdf" TargetMode="External"/><Relationship Id="rId7" Type="http://schemas.openxmlformats.org/officeDocument/2006/relationships/hyperlink" Target="http://www.amiaconference.com/" TargetMode="External"/><Relationship Id="rId8" Type="http://schemas.openxmlformats.org/officeDocument/2006/relationships/hyperlink" Target="http://www.amianet.org/community/committees" TargetMode="External"/></Relationships>
</file>